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5298B" w14:textId="68DBD663" w:rsidR="00701FEA" w:rsidRPr="00036BDC" w:rsidRDefault="004F4BAA">
      <w:pPr>
        <w:rPr>
          <w:b/>
          <w:bCs/>
        </w:rPr>
      </w:pPr>
      <w:r w:rsidRPr="00036BDC">
        <w:rPr>
          <w:b/>
          <w:bCs/>
        </w:rPr>
        <w:t>Haldusakti üldnõuded</w:t>
      </w:r>
      <w:r w:rsidR="00036BDC">
        <w:rPr>
          <w:b/>
          <w:bCs/>
        </w:rPr>
        <w:t xml:space="preserve"> </w:t>
      </w:r>
      <w:r w:rsidR="00036BDC">
        <w:t>(HMS § 54)</w:t>
      </w:r>
    </w:p>
    <w:p w14:paraId="27230A59" w14:textId="77777777" w:rsidR="00036BDC" w:rsidRDefault="004F4BAA" w:rsidP="004D7278">
      <w:pPr>
        <w:pStyle w:val="ListParagraph"/>
        <w:numPr>
          <w:ilvl w:val="0"/>
          <w:numId w:val="3"/>
        </w:numPr>
      </w:pPr>
      <w:r>
        <w:t>Haldusakt on õiguspärane, kui see on</w:t>
      </w:r>
      <w:r w:rsidR="00036BDC">
        <w:t>:</w:t>
      </w:r>
    </w:p>
    <w:p w14:paraId="55489A53" w14:textId="77777777" w:rsidR="00036BDC" w:rsidRDefault="004F4BAA" w:rsidP="004D7278">
      <w:pPr>
        <w:pStyle w:val="ListParagraph"/>
        <w:numPr>
          <w:ilvl w:val="1"/>
          <w:numId w:val="3"/>
        </w:numPr>
      </w:pPr>
      <w:r>
        <w:t xml:space="preserve">antud pädeva haldusorgani poolt andmise hetkel kehtiva õiguse alusel ja sellega kooskõlas, </w:t>
      </w:r>
    </w:p>
    <w:p w14:paraId="2CD6AF52" w14:textId="77777777" w:rsidR="00036BDC" w:rsidRDefault="004F4BAA" w:rsidP="004D7278">
      <w:pPr>
        <w:pStyle w:val="ListParagraph"/>
        <w:numPr>
          <w:ilvl w:val="1"/>
          <w:numId w:val="3"/>
        </w:numPr>
      </w:pPr>
      <w:r>
        <w:t xml:space="preserve">proportsionaalne, </w:t>
      </w:r>
    </w:p>
    <w:p w14:paraId="28283701" w14:textId="77777777" w:rsidR="00036BDC" w:rsidRDefault="004F4BAA" w:rsidP="004D7278">
      <w:pPr>
        <w:pStyle w:val="ListParagraph"/>
        <w:numPr>
          <w:ilvl w:val="1"/>
          <w:numId w:val="3"/>
        </w:numPr>
      </w:pPr>
      <w:r>
        <w:t xml:space="preserve">kaalutlusvigadeta </w:t>
      </w:r>
    </w:p>
    <w:p w14:paraId="6432956B" w14:textId="6DF4DB88" w:rsidR="004F4BAA" w:rsidRDefault="004F4BAA" w:rsidP="004D7278">
      <w:pPr>
        <w:pStyle w:val="ListParagraph"/>
        <w:numPr>
          <w:ilvl w:val="1"/>
          <w:numId w:val="3"/>
        </w:numPr>
      </w:pPr>
      <w:r>
        <w:t xml:space="preserve">vastab vorminõuetele </w:t>
      </w:r>
    </w:p>
    <w:p w14:paraId="64DE5A4D" w14:textId="65CA98E1" w:rsidR="004F4BAA" w:rsidRPr="004F4BAA" w:rsidRDefault="004F4BAA">
      <w:pPr>
        <w:rPr>
          <w:b/>
          <w:bCs/>
        </w:rPr>
      </w:pPr>
      <w:r w:rsidRPr="004F4BAA">
        <w:rPr>
          <w:b/>
          <w:bCs/>
        </w:rPr>
        <w:t>Vorminõuded (HMS § 55)</w:t>
      </w:r>
    </w:p>
    <w:p w14:paraId="4F830EE5" w14:textId="531C081F" w:rsidR="004F4BAA" w:rsidRDefault="004F4BAA" w:rsidP="008630FE">
      <w:pPr>
        <w:pStyle w:val="ListParagraph"/>
        <w:numPr>
          <w:ilvl w:val="0"/>
          <w:numId w:val="2"/>
        </w:numPr>
      </w:pPr>
      <w:r>
        <w:t>Haldusakt peab olema selge ja üheselt mõistetav</w:t>
      </w:r>
    </w:p>
    <w:p w14:paraId="77AB3A06" w14:textId="1B9C832B" w:rsidR="004F4BAA" w:rsidRDefault="004F4BAA" w:rsidP="008630FE">
      <w:pPr>
        <w:pStyle w:val="ListParagraph"/>
        <w:numPr>
          <w:ilvl w:val="0"/>
          <w:numId w:val="2"/>
        </w:numPr>
      </w:pPr>
      <w:r>
        <w:t>Haldusakt antakse kirjalikus vormis, kui seaduse ja määrusega ei ole sätestatud teisiti</w:t>
      </w:r>
    </w:p>
    <w:p w14:paraId="435017E5" w14:textId="5242778C" w:rsidR="004F4BAA" w:rsidRDefault="004F4BAA" w:rsidP="008630FE">
      <w:pPr>
        <w:pStyle w:val="ListParagraph"/>
        <w:numPr>
          <w:ilvl w:val="0"/>
          <w:numId w:val="2"/>
        </w:numPr>
      </w:pPr>
      <w:r>
        <w:t xml:space="preserve">Kirjalikus haldusaktis märgitakse selle andnud haldusorgani nimetus (NB! Kutsekomisjoni esimees) või tema volitatud isiku nimi ja allkiri, haldusakti väljaandmise aeg </w:t>
      </w:r>
    </w:p>
    <w:p w14:paraId="6CD19940" w14:textId="7050FF7B" w:rsidR="004F4BAA" w:rsidRDefault="004F4BAA" w:rsidP="008630FE">
      <w:pPr>
        <w:pStyle w:val="ListParagraph"/>
        <w:numPr>
          <w:ilvl w:val="0"/>
          <w:numId w:val="2"/>
        </w:numPr>
      </w:pPr>
      <w:r>
        <w:t>Haldusaktis tuleb märkida selle vaidlustamisviide, kuid selle puudumine ei mõjuta akti kehtivust ega vaidlustamise tähtaega</w:t>
      </w:r>
    </w:p>
    <w:p w14:paraId="0EBC7F5C" w14:textId="77777777" w:rsidR="008630FE" w:rsidRPr="008630FE" w:rsidRDefault="008630FE" w:rsidP="008630FE">
      <w:pPr>
        <w:rPr>
          <w:b/>
          <w:bCs/>
        </w:rPr>
      </w:pPr>
      <w:r w:rsidRPr="008630FE">
        <w:rPr>
          <w:b/>
          <w:bCs/>
        </w:rPr>
        <w:t>Haldusakti põhjendamine HMS § 56:</w:t>
      </w:r>
    </w:p>
    <w:p w14:paraId="3D1B09B1" w14:textId="483886AC" w:rsidR="008630FE" w:rsidRDefault="008630FE" w:rsidP="008630FE">
      <w:pPr>
        <w:pStyle w:val="ListParagraph"/>
        <w:numPr>
          <w:ilvl w:val="0"/>
          <w:numId w:val="1"/>
        </w:numPr>
      </w:pPr>
      <w:r>
        <w:t>Kirjalik haldusakt ja soodustava haldusakti andmisest keeldumine peab olema kirjalikult põhjendatud. Haldusakti põhjendus esitatakse haldusaktis või menetlusosalisele kättesaadavas dokumendis, millele on haldusaktis viidatud.</w:t>
      </w:r>
    </w:p>
    <w:p w14:paraId="174B8B4D" w14:textId="50E22B81" w:rsidR="008630FE" w:rsidRDefault="008630FE" w:rsidP="008630FE">
      <w:pPr>
        <w:pStyle w:val="ListParagraph"/>
        <w:numPr>
          <w:ilvl w:val="0"/>
          <w:numId w:val="1"/>
        </w:numPr>
      </w:pPr>
      <w:r>
        <w:t>Haldusakti põhjenduses tuleb märkida haldusakti andmise faktiline ja õiguslik alus.</w:t>
      </w:r>
    </w:p>
    <w:p w14:paraId="4C7F7CCA" w14:textId="4420A083" w:rsidR="008630FE" w:rsidRDefault="008630FE" w:rsidP="008630FE">
      <w:pPr>
        <w:pStyle w:val="ListParagraph"/>
        <w:numPr>
          <w:ilvl w:val="0"/>
          <w:numId w:val="1"/>
        </w:numPr>
      </w:pPr>
      <w:r>
        <w:t>Kaalutlusõiguse alusel antud haldusakti põhjenduses tuleb märkida kaalutlused, millest haldusorgan on haldusakti andmisel lähtunud.</w:t>
      </w:r>
    </w:p>
    <w:p w14:paraId="318AA922" w14:textId="1E41B9AC" w:rsidR="008630FE" w:rsidRDefault="008630FE" w:rsidP="008630FE">
      <w:pPr>
        <w:pStyle w:val="ListParagraph"/>
        <w:numPr>
          <w:ilvl w:val="0"/>
          <w:numId w:val="1"/>
        </w:numPr>
      </w:pPr>
      <w:r>
        <w:t>Haldusakti andmise faktilist alust ei pea põhjenduses näitama, kui haldusakti adressaadi taotlus rahuldati ja kolmanda isiku õigusi ega vabadusi ei piirata.</w:t>
      </w:r>
    </w:p>
    <w:p w14:paraId="69D1DA7C" w14:textId="00E98307" w:rsidR="008630FE" w:rsidRDefault="008630FE" w:rsidP="008630FE">
      <w:pPr>
        <w:pStyle w:val="ListParagraph"/>
        <w:numPr>
          <w:ilvl w:val="0"/>
          <w:numId w:val="1"/>
        </w:numPr>
      </w:pPr>
      <w:r>
        <w:t xml:space="preserve">Haldusakti motiveerimine on abinõu, et isik, kellele on haldusakt adresseeritud, saaks aru, kas tema õigusi on kitsendatud seaduslikult ja vajadusel oma õigusi kaitsta. Samuti võimaldab haldusakti põhjendamine selle seaduslikkust kontrollival asutusel otsustada, kas haldusakt on seaduslik, kuna haldusakti motiveerimine tagab selle </w:t>
      </w:r>
      <w:proofErr w:type="spellStart"/>
      <w:r>
        <w:t>kontrollitavuse</w:t>
      </w:r>
      <w:proofErr w:type="spellEnd"/>
      <w:r>
        <w:t xml:space="preserve">. Motiveerimata haldusakt on õigusvastane juba seepärast, et pole võimalik kontrollida, miks ja millisel õiguslikul alusel on haldusakt antud. </w:t>
      </w:r>
    </w:p>
    <w:p w14:paraId="0766F7B3" w14:textId="4B5322BD" w:rsidR="008630FE" w:rsidRDefault="008630FE" w:rsidP="008630FE">
      <w:pPr>
        <w:pStyle w:val="ListParagraph"/>
        <w:numPr>
          <w:ilvl w:val="0"/>
          <w:numId w:val="1"/>
        </w:numPr>
      </w:pPr>
      <w:r>
        <w:t>NB! Kollektiivne otsus ei vabasta põhjendamise kohustusest!</w:t>
      </w:r>
    </w:p>
    <w:p w14:paraId="6671E05F" w14:textId="0E998442" w:rsidR="008630FE" w:rsidRDefault="008630FE" w:rsidP="008630FE">
      <w:pPr>
        <w:pStyle w:val="ListParagraph"/>
        <w:numPr>
          <w:ilvl w:val="0"/>
          <w:numId w:val="1"/>
        </w:numPr>
      </w:pPr>
      <w:r>
        <w:t xml:space="preserve">Haldusakti põhjendamine koosneb reeglina kahest olulisest komponendist: </w:t>
      </w:r>
      <w:proofErr w:type="spellStart"/>
      <w:r>
        <w:t>subsumeerimine</w:t>
      </w:r>
      <w:proofErr w:type="spellEnd"/>
      <w:r>
        <w:t xml:space="preserve"> ja kaalutlusõiguse teostamine</w:t>
      </w:r>
    </w:p>
    <w:p w14:paraId="5B529F05" w14:textId="47DD554F" w:rsidR="008630FE" w:rsidRDefault="008630FE" w:rsidP="008630FE">
      <w:pPr>
        <w:pStyle w:val="ListParagraph"/>
        <w:numPr>
          <w:ilvl w:val="1"/>
          <w:numId w:val="1"/>
        </w:numPr>
      </w:pPr>
      <w:proofErr w:type="spellStart"/>
      <w:r>
        <w:t>Subsumeerimine</w:t>
      </w:r>
      <w:proofErr w:type="spellEnd"/>
      <w:r>
        <w:t xml:space="preserve"> tähendab faktiliste asjaolude paigutamist õigusnormi abstraktse faktilise koosseisu alla, nt kui kutse eeldusena on sätestatud ehitusalase kõrghariduse olemasolu, tuleb tuvastada, kas faktiliselt selline haridus on omandatud.</w:t>
      </w:r>
    </w:p>
    <w:p w14:paraId="033D961F" w14:textId="5B2CDF0A" w:rsidR="008630FE" w:rsidRDefault="008630FE" w:rsidP="008630FE">
      <w:pPr>
        <w:pStyle w:val="ListParagraph"/>
        <w:numPr>
          <w:ilvl w:val="1"/>
          <w:numId w:val="1"/>
        </w:numPr>
      </w:pPr>
      <w:r>
        <w:t>Kaalutlusõiguse teostamine tähendab normist tuleneva otsustusvabaduse teostamist, nt kui kutse andjale on antud kaalutluspädevus väljastada kutsetunnistus tavapärasest lühema kehtivusajaga või kui otsuse tegemisel tuleb kohaldada määratlemata õigusmõistet, nt „hea tava“.</w:t>
      </w:r>
    </w:p>
    <w:p w14:paraId="0DB99837" w14:textId="77777777" w:rsidR="00036BDC" w:rsidRPr="00036BDC" w:rsidRDefault="00036BDC" w:rsidP="00036BDC">
      <w:pPr>
        <w:pStyle w:val="ListParagraph"/>
        <w:numPr>
          <w:ilvl w:val="0"/>
          <w:numId w:val="1"/>
        </w:numPr>
        <w:rPr>
          <w:b/>
          <w:bCs/>
        </w:rPr>
      </w:pPr>
      <w:r w:rsidRPr="00036BDC">
        <w:rPr>
          <w:b/>
          <w:bCs/>
        </w:rPr>
        <w:t>Kaalutlusvead</w:t>
      </w:r>
    </w:p>
    <w:p w14:paraId="19A9D577" w14:textId="0BD95C22" w:rsidR="00036BDC" w:rsidRDefault="00036BDC" w:rsidP="004D7278">
      <w:pPr>
        <w:pStyle w:val="ListParagraph"/>
        <w:numPr>
          <w:ilvl w:val="1"/>
          <w:numId w:val="1"/>
        </w:numPr>
      </w:pPr>
      <w:r>
        <w:t>Kaalutlusõiguse teostamata jätmine. Kaalutlusnorm kohustab haldusorganit kaalumist läbi viima ja selle teostamata jätmine on kaalutlusviga.</w:t>
      </w:r>
    </w:p>
    <w:p w14:paraId="5FC6BD13" w14:textId="4DA3D1AD" w:rsidR="00036BDC" w:rsidRDefault="00036BDC" w:rsidP="004D7278">
      <w:pPr>
        <w:pStyle w:val="ListParagraph"/>
        <w:numPr>
          <w:ilvl w:val="1"/>
          <w:numId w:val="1"/>
        </w:numPr>
      </w:pPr>
      <w:r>
        <w:lastRenderedPageBreak/>
        <w:t xml:space="preserve">Kaalutlusõiguse ületamine. Kaalutlusnorm seab haldusorganile otsustamise piirid, millest ei tohi väljuda (valida tagajärge, mida ei ole õigusnormiga ette nähtud). </w:t>
      </w:r>
    </w:p>
    <w:p w14:paraId="77D2A7CF" w14:textId="5CA5C697" w:rsidR="00036BDC" w:rsidRDefault="00036BDC" w:rsidP="004D7278">
      <w:pPr>
        <w:pStyle w:val="ListParagraph"/>
        <w:numPr>
          <w:ilvl w:val="1"/>
          <w:numId w:val="1"/>
        </w:numPr>
      </w:pPr>
      <w:r>
        <w:t xml:space="preserve">Kaalutlusõiguse mitte eesmärgipärane kohaldamine (kõrvalekaldumine seaduse eesmärgist ja mõttest). </w:t>
      </w:r>
    </w:p>
    <w:p w14:paraId="78926B6F" w14:textId="208CDB0A" w:rsidR="00036BDC" w:rsidRDefault="00036BDC" w:rsidP="004D7278">
      <w:pPr>
        <w:pStyle w:val="ListParagraph"/>
        <w:numPr>
          <w:ilvl w:val="1"/>
          <w:numId w:val="1"/>
        </w:numPr>
      </w:pPr>
      <w:r>
        <w:t>Põhiseaduslike väärtustega mittearvestamine, eelkõige proportsionaalsuse põhimõtte eiramine (sobimatu või ebaproportsionaalne tagajärg, õiguspärase ootuse eiramine).</w:t>
      </w:r>
    </w:p>
    <w:p w14:paraId="7CE0EE02" w14:textId="32098CF7" w:rsidR="00036BDC" w:rsidRDefault="00036BDC" w:rsidP="004D7278">
      <w:pPr>
        <w:pStyle w:val="ListParagraph"/>
        <w:numPr>
          <w:ilvl w:val="1"/>
          <w:numId w:val="1"/>
        </w:numPr>
      </w:pPr>
      <w:r>
        <w:t xml:space="preserve">Väljakujunenud halduspraktikast põhjendamatu kõrvalekaldumine (võrdse kohtlemise põhimõtte rikkumine). </w:t>
      </w:r>
    </w:p>
    <w:p w14:paraId="5387B1D5" w14:textId="1C72D5D1" w:rsidR="008630FE" w:rsidRDefault="00036BDC" w:rsidP="004D7278">
      <w:pPr>
        <w:pStyle w:val="ListParagraph"/>
        <w:numPr>
          <w:ilvl w:val="1"/>
          <w:numId w:val="1"/>
        </w:numPr>
      </w:pPr>
      <w:r>
        <w:t>Kaalumise puudulikkus (ei selgitata välja kõiki olulisi asjaolusid või jäetakse need tähelepanuta).</w:t>
      </w:r>
    </w:p>
    <w:p w14:paraId="514E7A37" w14:textId="77777777" w:rsidR="004D7278" w:rsidRDefault="004D7278" w:rsidP="004D7278">
      <w:pPr>
        <w:pStyle w:val="ListParagraph"/>
      </w:pPr>
    </w:p>
    <w:p w14:paraId="497E8209" w14:textId="77777777" w:rsidR="004D7278" w:rsidRPr="004D7278" w:rsidRDefault="004D7278" w:rsidP="004D7278">
      <w:pPr>
        <w:pStyle w:val="ListParagraph"/>
        <w:numPr>
          <w:ilvl w:val="0"/>
          <w:numId w:val="4"/>
        </w:numPr>
        <w:rPr>
          <w:b/>
          <w:bCs/>
        </w:rPr>
      </w:pPr>
      <w:r w:rsidRPr="004D7278">
        <w:rPr>
          <w:b/>
          <w:bCs/>
        </w:rPr>
        <w:t>Haldusakti teatavaks tegemine</w:t>
      </w:r>
    </w:p>
    <w:p w14:paraId="0046A4D2" w14:textId="3DFD9D3C" w:rsidR="004D7278" w:rsidRDefault="004D7278" w:rsidP="004D7278">
      <w:pPr>
        <w:pStyle w:val="ListParagraph"/>
        <w:numPr>
          <w:ilvl w:val="1"/>
          <w:numId w:val="4"/>
        </w:numPr>
      </w:pPr>
      <w:r>
        <w:t>Haldusakt kehtib adressaadile teatavaks tegemisest või kättetoimetamisest alates, kui haldusaktis ei ole ette nähtud hilisemat</w:t>
      </w:r>
      <w:r w:rsidR="00675A14">
        <w:t xml:space="preserve"> </w:t>
      </w:r>
      <w:r>
        <w:t>kehtima hakkamist</w:t>
      </w:r>
      <w:r w:rsidRPr="004D7278">
        <w:t xml:space="preserve"> </w:t>
      </w:r>
      <w:r>
        <w:t>HMS § 61 lg 1</w:t>
      </w:r>
    </w:p>
    <w:p w14:paraId="750DB64C" w14:textId="18997022" w:rsidR="004D7278" w:rsidRDefault="004D7278" w:rsidP="004D7278">
      <w:pPr>
        <w:pStyle w:val="ListParagraph"/>
        <w:numPr>
          <w:ilvl w:val="1"/>
          <w:numId w:val="4"/>
        </w:numPr>
      </w:pPr>
      <w:r>
        <w:t>Haldusakt tehakse menetlusosalisele teatavaks vabas</w:t>
      </w:r>
      <w:r w:rsidR="00675A14">
        <w:t xml:space="preserve"> </w:t>
      </w:r>
      <w:r>
        <w:t>vormis, kui seaduses või määruses ei ole sätestatud teisiti. HMS § 62 lg 1 Vt konkreetse kutse andmise korra nõudeid</w:t>
      </w:r>
      <w:r w:rsidRPr="004D7278">
        <w:t xml:space="preserve"> </w:t>
      </w:r>
    </w:p>
    <w:p w14:paraId="63FB4D60" w14:textId="74BD2DEF" w:rsidR="004D7278" w:rsidRDefault="004D7278" w:rsidP="00675A14">
      <w:pPr>
        <w:pStyle w:val="ListParagraph"/>
        <w:numPr>
          <w:ilvl w:val="1"/>
          <w:numId w:val="4"/>
        </w:numPr>
      </w:pPr>
      <w:r>
        <w:t>Positiivne otsus saab teatavaks, mh kutsetunnistuse registrisse kandmisega</w:t>
      </w:r>
    </w:p>
    <w:p w14:paraId="7C9302D4" w14:textId="77777777" w:rsidR="004D7278" w:rsidRDefault="004D7278" w:rsidP="00675A14">
      <w:pPr>
        <w:pStyle w:val="ListParagraph"/>
        <w:numPr>
          <w:ilvl w:val="1"/>
          <w:numId w:val="4"/>
        </w:numPr>
      </w:pPr>
      <w:r>
        <w:t>Negatiivne otsus tuleb HMS § 62 lg 2 kohaselt kätte toimetada</w:t>
      </w:r>
    </w:p>
    <w:p w14:paraId="62CC6DFB" w14:textId="65297CE0" w:rsidR="004D7278" w:rsidRDefault="004D7278" w:rsidP="004D7278">
      <w:pPr>
        <w:pStyle w:val="ListParagraph"/>
        <w:numPr>
          <w:ilvl w:val="1"/>
          <w:numId w:val="4"/>
        </w:numPr>
      </w:pPr>
      <w:r>
        <w:t xml:space="preserve">Kutsetunnistuse kehtetuks tunnistamisel erisäte </w:t>
      </w:r>
      <w:proofErr w:type="spellStart"/>
      <w:r>
        <w:t>KutS</w:t>
      </w:r>
      <w:proofErr w:type="spellEnd"/>
      <w:r>
        <w:t xml:space="preserve"> § 22 lg 2: tähtkiri ja teade</w:t>
      </w:r>
      <w:r w:rsidR="00675A14">
        <w:t xml:space="preserve"> </w:t>
      </w:r>
      <w:r>
        <w:t>AT s</w:t>
      </w:r>
    </w:p>
    <w:sectPr w:rsidR="004D7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316E2"/>
    <w:multiLevelType w:val="hybridMultilevel"/>
    <w:tmpl w:val="3B4E6D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9003DFB"/>
    <w:multiLevelType w:val="hybridMultilevel"/>
    <w:tmpl w:val="23EC86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3E67A9"/>
    <w:multiLevelType w:val="hybridMultilevel"/>
    <w:tmpl w:val="1EE6B99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E097321"/>
    <w:multiLevelType w:val="hybridMultilevel"/>
    <w:tmpl w:val="A97ED41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83151713">
    <w:abstractNumId w:val="2"/>
  </w:num>
  <w:num w:numId="2" w16cid:durableId="1408261779">
    <w:abstractNumId w:val="0"/>
  </w:num>
  <w:num w:numId="3" w16cid:durableId="1776827935">
    <w:abstractNumId w:val="3"/>
  </w:num>
  <w:num w:numId="4" w16cid:durableId="101688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AA"/>
    <w:rsid w:val="00036BDC"/>
    <w:rsid w:val="001721C6"/>
    <w:rsid w:val="004D7278"/>
    <w:rsid w:val="004F4BAA"/>
    <w:rsid w:val="00675A14"/>
    <w:rsid w:val="006A2BC7"/>
    <w:rsid w:val="00701FEA"/>
    <w:rsid w:val="008630FE"/>
    <w:rsid w:val="00864923"/>
    <w:rsid w:val="00DC5A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843F"/>
  <w15:chartTrackingRefBased/>
  <w15:docId w15:val="{5789DCF7-1F99-49C7-B9AB-A5537FAA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B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B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B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B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B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B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B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B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B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B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B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B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B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B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B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BAA"/>
    <w:rPr>
      <w:rFonts w:eastAsiaTheme="majorEastAsia" w:cstheme="majorBidi"/>
      <w:color w:val="272727" w:themeColor="text1" w:themeTint="D8"/>
    </w:rPr>
  </w:style>
  <w:style w:type="paragraph" w:styleId="Title">
    <w:name w:val="Title"/>
    <w:basedOn w:val="Normal"/>
    <w:next w:val="Normal"/>
    <w:link w:val="TitleChar"/>
    <w:uiPriority w:val="10"/>
    <w:qFormat/>
    <w:rsid w:val="004F4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B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B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B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BAA"/>
    <w:pPr>
      <w:spacing w:before="160"/>
      <w:jc w:val="center"/>
    </w:pPr>
    <w:rPr>
      <w:i/>
      <w:iCs/>
      <w:color w:val="404040" w:themeColor="text1" w:themeTint="BF"/>
    </w:rPr>
  </w:style>
  <w:style w:type="character" w:customStyle="1" w:styleId="QuoteChar">
    <w:name w:val="Quote Char"/>
    <w:basedOn w:val="DefaultParagraphFont"/>
    <w:link w:val="Quote"/>
    <w:uiPriority w:val="29"/>
    <w:rsid w:val="004F4BAA"/>
    <w:rPr>
      <w:i/>
      <w:iCs/>
      <w:color w:val="404040" w:themeColor="text1" w:themeTint="BF"/>
    </w:rPr>
  </w:style>
  <w:style w:type="paragraph" w:styleId="ListParagraph">
    <w:name w:val="List Paragraph"/>
    <w:basedOn w:val="Normal"/>
    <w:uiPriority w:val="34"/>
    <w:qFormat/>
    <w:rsid w:val="004F4BAA"/>
    <w:pPr>
      <w:ind w:left="720"/>
      <w:contextualSpacing/>
    </w:pPr>
  </w:style>
  <w:style w:type="character" w:styleId="IntenseEmphasis">
    <w:name w:val="Intense Emphasis"/>
    <w:basedOn w:val="DefaultParagraphFont"/>
    <w:uiPriority w:val="21"/>
    <w:qFormat/>
    <w:rsid w:val="004F4BAA"/>
    <w:rPr>
      <w:i/>
      <w:iCs/>
      <w:color w:val="0F4761" w:themeColor="accent1" w:themeShade="BF"/>
    </w:rPr>
  </w:style>
  <w:style w:type="paragraph" w:styleId="IntenseQuote">
    <w:name w:val="Intense Quote"/>
    <w:basedOn w:val="Normal"/>
    <w:next w:val="Normal"/>
    <w:link w:val="IntenseQuoteChar"/>
    <w:uiPriority w:val="30"/>
    <w:qFormat/>
    <w:rsid w:val="004F4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BAA"/>
    <w:rPr>
      <w:i/>
      <w:iCs/>
      <w:color w:val="0F4761" w:themeColor="accent1" w:themeShade="BF"/>
    </w:rPr>
  </w:style>
  <w:style w:type="character" w:styleId="IntenseReference">
    <w:name w:val="Intense Reference"/>
    <w:basedOn w:val="DefaultParagraphFont"/>
    <w:uiPriority w:val="32"/>
    <w:qFormat/>
    <w:rsid w:val="004F4B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567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Saarsalu</dc:creator>
  <cp:keywords/>
  <dc:description/>
  <cp:lastModifiedBy>Silja Madison</cp:lastModifiedBy>
  <cp:revision>2</cp:revision>
  <dcterms:created xsi:type="dcterms:W3CDTF">2024-10-03T12:59:00Z</dcterms:created>
  <dcterms:modified xsi:type="dcterms:W3CDTF">2024-10-14T12:44:00Z</dcterms:modified>
</cp:coreProperties>
</file>